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黑体" w:hAnsi="黑体" w:eastAsia="黑体" w:cs="黑体"/>
          <w:sz w:val="52"/>
          <w:szCs w:val="52"/>
        </w:rPr>
      </w:pPr>
      <w:r>
        <w:rPr>
          <w:rFonts w:hint="eastAsia" w:ascii="黑体" w:hAnsi="黑体" w:eastAsia="黑体" w:cs="黑体"/>
          <w:b/>
          <w:color w:val="FF0000"/>
          <w:kern w:val="0"/>
          <w:sz w:val="52"/>
          <w:szCs w:val="52"/>
          <w:lang w:val="en-US" w:eastAsia="zh-CN" w:bidi="ar"/>
        </w:rPr>
        <w:t>淮南联合大学继续教育学院</w:t>
      </w:r>
    </w:p>
    <w:p>
      <w:pPr>
        <w:keepNext w:val="0"/>
        <w:keepLines w:val="0"/>
        <w:widowControl/>
        <w:suppressLineNumbers w:val="0"/>
        <w:jc w:val="center"/>
        <w:rPr>
          <w:rFonts w:hint="eastAsia" w:ascii="黑体" w:hAnsi="黑体" w:eastAsia="黑体" w:cs="黑体"/>
          <w:sz w:val="84"/>
          <w:szCs w:val="84"/>
        </w:rPr>
      </w:pPr>
      <w:r>
        <w:rPr>
          <w:rFonts w:hint="eastAsia" w:ascii="黑体" w:hAnsi="黑体" w:eastAsia="黑体" w:cs="黑体"/>
          <w:b/>
          <w:color w:val="FF0000"/>
          <w:kern w:val="0"/>
          <w:sz w:val="84"/>
          <w:szCs w:val="84"/>
          <w:lang w:val="en-US" w:eastAsia="zh-CN" w:bidi="ar"/>
        </w:rPr>
        <w:t>工 作 简 报</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pPr>
      <w:r>
        <w:rPr>
          <w:rFonts w:hint="default" w:ascii="Times New Roman" w:hAnsi="Times New Roman" w:eastAsia="宋体" w:cs="Times New Roman"/>
          <w:b/>
          <w:color w:val="000000"/>
          <w:kern w:val="0"/>
          <w:sz w:val="28"/>
          <w:szCs w:val="28"/>
          <w:lang w:val="en-US" w:eastAsia="zh-CN" w:bidi="ar"/>
        </w:rPr>
        <w:t>20</w:t>
      </w:r>
      <w:r>
        <w:rPr>
          <w:rFonts w:hint="eastAsia" w:ascii="Times New Roman" w:hAnsi="Times New Roman" w:eastAsia="宋体" w:cs="Times New Roman"/>
          <w:b/>
          <w:color w:val="000000"/>
          <w:kern w:val="0"/>
          <w:sz w:val="28"/>
          <w:szCs w:val="28"/>
          <w:lang w:val="en-US" w:eastAsia="zh-CN" w:bidi="ar"/>
        </w:rPr>
        <w:t>21</w:t>
      </w:r>
      <w:r>
        <w:rPr>
          <w:rFonts w:hint="eastAsia" w:ascii="宋体" w:hAnsi="宋体" w:eastAsia="宋体" w:cs="宋体"/>
          <w:b/>
          <w:color w:val="000000"/>
          <w:kern w:val="0"/>
          <w:sz w:val="28"/>
          <w:szCs w:val="28"/>
          <w:lang w:val="en-US" w:eastAsia="zh-CN" w:bidi="ar"/>
        </w:rPr>
        <w:t>年第10期（总第19期）</w:t>
      </w: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pPr>
      <w:r>
        <w:rPr>
          <w:rFonts w:hint="eastAsia" w:ascii="黑体" w:hAnsi="黑体" w:eastAsia="黑体" w:cs="黑体"/>
          <w:sz w:val="28"/>
          <w:lang w:eastAsia="zh-CN"/>
        </w:rPr>
        <w:t>继续教育学院</w:t>
      </w:r>
      <w:r>
        <w:rPr>
          <w:rFonts w:hint="eastAsia" w:ascii="黑体" w:hAnsi="黑体" w:eastAsia="黑体" w:cs="黑体"/>
          <w:color w:val="000000"/>
          <w:kern w:val="0"/>
          <w:sz w:val="28"/>
          <w:szCs w:val="28"/>
          <w:lang w:val="en-US" w:eastAsia="zh-CN" w:bidi="ar"/>
        </w:rPr>
        <w:t xml:space="preserve">主办 </w:t>
      </w:r>
      <w:r>
        <w:rPr>
          <w:rFonts w:hint="eastAsia" w:ascii="黑体" w:hAnsi="宋体" w:eastAsia="黑体" w:cs="黑体"/>
          <w:color w:val="000000"/>
          <w:kern w:val="0"/>
          <w:sz w:val="28"/>
          <w:szCs w:val="28"/>
          <w:lang w:val="en-US" w:eastAsia="zh-CN" w:bidi="ar"/>
        </w:rPr>
        <w:t xml:space="preserve">                   日期：</w:t>
      </w:r>
      <w:r>
        <w:rPr>
          <w:rFonts w:hint="eastAsia" w:ascii="Times New Roman" w:hAnsi="Times New Roman" w:eastAsia="宋体" w:cs="Times New Roman"/>
          <w:color w:val="000000"/>
          <w:kern w:val="0"/>
          <w:sz w:val="28"/>
          <w:szCs w:val="28"/>
          <w:lang w:val="en-US" w:eastAsia="zh-CN" w:bidi="ar"/>
        </w:rPr>
        <w:t>2021</w:t>
      </w:r>
      <w:r>
        <w:rPr>
          <w:rFonts w:hint="eastAsia" w:ascii="黑体" w:hAnsi="宋体" w:eastAsia="黑体" w:cs="黑体"/>
          <w:color w:val="000000"/>
          <w:kern w:val="0"/>
          <w:sz w:val="28"/>
          <w:szCs w:val="28"/>
          <w:lang w:val="en-US" w:eastAsia="zh-CN" w:bidi="ar"/>
        </w:rPr>
        <w:t xml:space="preserve">年 </w:t>
      </w:r>
      <w:r>
        <w:rPr>
          <w:rFonts w:hint="eastAsia" w:ascii="Times New Roman" w:hAnsi="Times New Roman" w:eastAsia="宋体" w:cs="Times New Roman"/>
          <w:color w:val="000000"/>
          <w:kern w:val="0"/>
          <w:sz w:val="28"/>
          <w:szCs w:val="28"/>
          <w:lang w:val="en-US" w:eastAsia="zh-CN" w:bidi="ar"/>
        </w:rPr>
        <w:t>11</w:t>
      </w:r>
      <w:r>
        <w:rPr>
          <w:rFonts w:hint="eastAsia" w:ascii="黑体" w:hAnsi="宋体" w:eastAsia="黑体" w:cs="黑体"/>
          <w:color w:val="000000"/>
          <w:kern w:val="0"/>
          <w:sz w:val="28"/>
          <w:szCs w:val="28"/>
          <w:lang w:val="en-US" w:eastAsia="zh-CN" w:bidi="ar"/>
        </w:rPr>
        <w:t>月1日</w:t>
      </w:r>
    </w:p>
    <w:p>
      <w:pPr>
        <w:widowControl/>
        <w:ind w:firstLine="2520" w:firstLineChars="900"/>
        <w:jc w:val="both"/>
        <w:rPr>
          <w:rFonts w:hint="eastAsia" w:ascii="仿宋" w:hAnsi="仿宋" w:eastAsia="仿宋" w:cs="仿宋"/>
          <w:b/>
          <w:bCs/>
          <w:sz w:val="36"/>
          <w:szCs w:val="36"/>
        </w:rPr>
      </w:pPr>
      <w:r>
        <w:rPr>
          <w:rFonts w:hint="eastAsia" w:ascii="黑体" w:hAnsi="黑体" w:eastAsia="黑体" w:cs="黑体"/>
          <w:sz w:val="28"/>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11430</wp:posOffset>
                </wp:positionV>
                <wp:extent cx="5414645" cy="17145"/>
                <wp:effectExtent l="0" t="13970" r="10795" b="14605"/>
                <wp:wrapNone/>
                <wp:docPr id="3" name="直接连接符 3"/>
                <wp:cNvGraphicFramePr/>
                <a:graphic xmlns:a="http://schemas.openxmlformats.org/drawingml/2006/main">
                  <a:graphicData uri="http://schemas.microsoft.com/office/word/2010/wordprocessingShape">
                    <wps:wsp>
                      <wps:cNvCnPr/>
                      <wps:spPr>
                        <a:xfrm>
                          <a:off x="0" y="0"/>
                          <a:ext cx="5414645" cy="17145"/>
                        </a:xfrm>
                        <a:prstGeom prst="line">
                          <a:avLst/>
                        </a:prstGeom>
                        <a:noFill/>
                        <a:ln w="28575" cap="flat" cmpd="sng" algn="ctr">
                          <a:solidFill>
                            <a:srgbClr val="FF0000"/>
                          </a:solidFill>
                          <a:prstDash val="solid"/>
                          <a:miter lim="800000"/>
                        </a:ln>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9pt;margin-top:0.9pt;height:1.35pt;width:426.35pt;z-index:251660288;mso-width-relative:page;mso-height-relative:page;" filled="f" stroked="t" coordsize="21600,21600" o:gfxdata="UEsDBAoAAAAAAIdO4kAAAAAAAAAAAAAAAAAEAAAAZHJzL1BLAwQUAAAACACHTuJAESdB6tgAAAAG&#10;AQAADwAAAGRycy9kb3ducmV2LnhtbE2OzU7DMBCE75V4B2uRuKDWaRVKG+JUAqmHHhD9Q+LoxksS&#10;sNdR7Kbh7VlO9LSandHMl68GZ0WPXWg8KZhOEhBIpTcNVQqOh/V4ASJETUZbT6jgBwOsiptRrjPj&#10;L7TDfh8rwSUUMq2gjrHNpAxljU6HiW+R2Pv0ndORZVdJ0+kLlzsrZ0kyl043xAu1bvGlxvJ7f3YK&#10;Zna53bw+H+7xff0xNJuvNzrKXqm722nyBCLiEP/D8IfP6FAw08mfyQRhFYwfmTzynw/bizRdgjgp&#10;SB9AFrm8xi9+AVBLAwQUAAAACACHTuJAcmJ/pPEBAADEAwAADgAAAGRycy9lMm9Eb2MueG1srVPN&#10;jtMwEL4j8Q6W7zRpt92toqZ72KpcEFQCHmDqOIkl/8njbdqX4AWQuMGJI3feht3HYJxky7Jc9kAO&#10;zoxn5vN8n8er66PR7CADKmdLPp3knEkrXKVsU/KPH7avlpxhBFuBdlaW/CSRX69fvlh1vpAz1zpd&#10;ycAIxGLR+ZK3Mfoiy1C00gBOnJeWgrULBiK5ocmqAB2hG53N8vwy61yofHBCItLuZgjyETE8B9DV&#10;tRJy48StkTYOqEFqiEQJW+WRr/tu61qK+K6uUUamS05MY7/SIWTv05qtV1A0AXyrxNgCPKeFJ5wM&#10;KEuHnqE2EIHdBvUPlFEiOHR1nAhnsoFIrwixmOZPtHnfgpc9F5Ia/Vl0/H+w4u1hF5iqSn7BmQVD&#10;F373+cevT1/vf36h9e77N3aRROo8FpR7Y3dh9NDvQmJ8rINJf+LCjr2wp7Ow8hiZoM3FfDq/nC84&#10;ExSbXk3JJJTsT7EPGF9LZ1gySq6VTbyhgMMbjEPqQ0ratm6rtKZ9KLRlXclny8VVggcayJoGgUzj&#10;iRTahjPQDU26iKGHRKdVlcpTNYZmf6MDOwDNx3ab0zd29ldaOnsD2A55fSilQWFUpMeglSn5MhU/&#10;VGuborIfwJFBUnDQLFl7V516KbPk0eX2coyDmKbnsU/248e3/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J0Hq2AAAAAYBAAAPAAAAAAAAAAEAIAAAACIAAABkcnMvZG93bnJldi54bWxQSwECFAAU&#10;AAAACACHTuJAcmJ/pPEBAADEAwAADgAAAAAAAAABACAAAAAnAQAAZHJzL2Uyb0RvYy54bWxQSwUG&#10;AAAAAAYABgBZAQAAigUAAAAA&#10;">
                <v:fill on="f" focussize="0,0"/>
                <v:stroke weight="2.25pt" color="#FF0000 [3205]" miterlimit="8" joinstyle="miter"/>
                <v:imagedata o:title=""/>
                <o:lock v:ext="edit" aspectratio="f"/>
              </v:line>
            </w:pict>
          </mc:Fallback>
        </mc:AlternateContent>
      </w:r>
    </w:p>
    <w:p>
      <w:pPr>
        <w:keepNext w:val="0"/>
        <w:keepLines w:val="0"/>
        <w:widowControl/>
        <w:suppressLineNumbers w:val="0"/>
        <w:jc w:val="center"/>
        <w:rPr>
          <w:rFonts w:hint="eastAsia" w:ascii="方正小标宋简体" w:hAnsi="黑体" w:eastAsia="方正小标宋简体" w:cs="黑体"/>
          <w:b/>
          <w:color w:val="FFFFFF" w:themeColor="background1"/>
          <w:kern w:val="0"/>
          <w:sz w:val="52"/>
          <w:szCs w:val="52"/>
          <w:lang w:bidi="ar"/>
          <w14:textFill>
            <w14:solidFill>
              <w14:schemeClr w14:val="bg1"/>
            </w14:solidFill>
          </w14:textFill>
        </w:rPr>
      </w:pPr>
      <w:r>
        <w:rPr>
          <w:sz w:val="36"/>
        </w:rPr>
        <mc:AlternateContent>
          <mc:Choice Requires="wps">
            <w:drawing>
              <wp:anchor distT="0" distB="0" distL="114300" distR="114300" simplePos="0" relativeHeight="251661312" behindDoc="0" locked="0" layoutInCell="1" allowOverlap="1">
                <wp:simplePos x="0" y="0"/>
                <wp:positionH relativeFrom="column">
                  <wp:posOffset>-29210</wp:posOffset>
                </wp:positionH>
                <wp:positionV relativeFrom="paragraph">
                  <wp:posOffset>10795</wp:posOffset>
                </wp:positionV>
                <wp:extent cx="5242560" cy="0"/>
                <wp:effectExtent l="0" t="0" r="0" b="0"/>
                <wp:wrapNone/>
                <wp:docPr id="2" name="直接连接符 2"/>
                <wp:cNvGraphicFramePr/>
                <a:graphic xmlns:a="http://schemas.openxmlformats.org/drawingml/2006/main">
                  <a:graphicData uri="http://schemas.microsoft.com/office/word/2010/wordprocessingShape">
                    <wps:wsp>
                      <wps:cNvCnPr/>
                      <wps:spPr>
                        <a:xfrm>
                          <a:off x="1113790" y="3698875"/>
                          <a:ext cx="5242560" cy="0"/>
                        </a:xfrm>
                        <a:prstGeom prst="line">
                          <a:avLst/>
                        </a:prstGeom>
                        <a:ln w="28575" cmpd="sng">
                          <a:no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pt;margin-top:0.85pt;height:0pt;width:412.8pt;z-index:251661312;mso-width-relative:page;mso-height-relative:page;" filled="f" stroked="f" coordsize="21600,21600" o:gfxdata="UEsDBAoAAAAAAIdO4kAAAAAAAAAAAAAAAAAEAAAAZHJzL1BLAwQUAAAACACHTuJAMPI0qNQAAAAG&#10;AQAADwAAAGRycy9kb3ducmV2LnhtbE2PzU7DMBCE70i8g7VIXFDrpEKhDXEqQOJWCWi49ObE2yQi&#10;3g2x+8Pbs3CB4+yMZr8p1mc/qCNOoWcykM4TUEgNu55aA+/V82wJKkRLzg5MaOALA6zLy4vC5o5P&#10;9IbHbWyVlFDIrYEuxjHXOjQdehvmPCKJt+fJ2yhyarWb7EnK/aAXSZJpb3uSD50d8anD5mN78NJS&#10;sas+9W7lXx9f9pw9bOrqZmPM9VWa3IOKeI5/YfjBF3QohanmA7mgBgOz20yScr8DJfZykcq0+lfr&#10;stD/8ctvUEsDBBQAAAAIAIdO4kA+besm5AEAAJUDAAAOAAAAZHJzL2Uyb0RvYy54bWytU82O0zAQ&#10;viPxDpbvNG2WdrNR0z1QLRcElYAHmHWcxJL/5PE27UvwAkjc4MSRO2/D8hiMnbK7Wi57IAd7PB5/&#10;M983k/XlwWi2lwGVsw1fzOacSStcq2zf8I8frl5UnGEE24J2Vjb8KJFfbp4/W4++lqUbnG5lYARi&#10;sR59w4cYfV0UKAZpAGfOS0uXnQsGIh1DX7QBRkI3uijn81UxutD64IREJO92uuQnxPAUQNd1Ssit&#10;EzdG2jihBqkhEiUclEe+ydV2nRTxXdehjEw3nJjGvFISsq/TWmzWUPcB/KDEqQR4SgmPOBlQlpLe&#10;QW0hArsJ6h8oo0Rw6Lo4E84UE5GsCLFYzB9p834ALzMXkhr9nej4/2DF2/0uMNU2vOTMgqGG337+&#10;8evT198/v9B6+/0bK5NIo8eaYl/ZXTid0O9CYnzogkk7cWEHGqjF4uz8guQ9NvxsdVFV58tJZHmI&#10;TFDAsnxZLlcUICgiN6C4B/EB42vpDEtGw7WyiT/UsH+DkRJT6N+Q5LbuSmmde6gtG4lEtaR8TAAN&#10;ZkcDQabxRA5tzxnoniZexJAhH7xNkFvAge2BxgSdVu1Us1GRZl0r0/Bqnr7kphq0pS1JMomQrGvX&#10;HrM22U/dyoGnyUrj8PCcX9//T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PI0qNQAAAAGAQAA&#10;DwAAAAAAAAABACAAAAAiAAAAZHJzL2Rvd25yZXYueG1sUEsBAhQAFAAAAAgAh07iQD5t6ybkAQAA&#10;lQMAAA4AAAAAAAAAAQAgAAAAIwEAAGRycy9lMm9Eb2MueG1sUEsFBgAAAAAGAAYAWQEAAHkFAAAA&#10;AA==&#10;">
                <v:fill on="f" focussize="0,0"/>
                <v:stroke on="f" weight="2.25pt" miterlimit="8" joinstyle="miter"/>
                <v:imagedata o:title=""/>
                <o:lock v:ext="edit" aspectratio="f"/>
              </v:line>
            </w:pict>
          </mc:Fallback>
        </mc:AlternateContent>
      </w:r>
      <w:r>
        <w:rPr>
          <w:rFonts w:hint="eastAsia" w:ascii="仿宋" w:hAnsi="仿宋" w:eastAsia="仿宋" w:cs="仿宋"/>
          <w:b/>
          <w:bCs/>
          <w:sz w:val="36"/>
          <w:szCs w:val="36"/>
        </w:rPr>
        <w:t>目   录</w:t>
      </w:r>
    </w:p>
    <w:tbl>
      <w:tblPr>
        <w:tblStyle w:val="8"/>
        <w:tblpPr w:leftFromText="180" w:rightFromText="180" w:vertAnchor="text" w:horzAnchor="page" w:tblpX="1820" w:tblpY="21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ind w:left="315" w:hanging="315" w:hangingChars="105"/>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w:t>
            </w:r>
            <w:r>
              <w:rPr>
                <w:rFonts w:hint="eastAsia" w:ascii="方正小标宋简体" w:hAnsi="方正小标宋简体" w:eastAsia="方正小标宋简体" w:cs="方正小标宋简体"/>
                <w:kern w:val="2"/>
                <w:sz w:val="30"/>
                <w:szCs w:val="30"/>
                <w:lang w:val="en-US" w:eastAsia="zh-CN" w:bidi="ar-SA"/>
              </w:rPr>
              <w:t>我院举行淮南老年开放大学2021年秋季开学典礼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ind w:left="300" w:hanging="300" w:hangingChars="100"/>
              <w:textAlignment w:val="auto"/>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w:t>
            </w:r>
            <w:r>
              <w:rPr>
                <w:rFonts w:hint="eastAsia" w:ascii="方正小标宋简体" w:hAnsi="方正小标宋简体" w:eastAsia="方正小标宋简体" w:cs="方正小标宋简体"/>
                <w:kern w:val="2"/>
                <w:sz w:val="30"/>
                <w:szCs w:val="30"/>
                <w:lang w:val="en-US" w:eastAsia="zh-CN" w:bidi="ar-SA"/>
              </w:rPr>
              <w:t>安徽开放大学副校长诸咸斌一行来我校调研“远教杯”乒乓球比赛筹备事宜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rPr>
                <w:rFonts w:hint="default"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sz w:val="30"/>
                <w:szCs w:val="30"/>
              </w:rPr>
              <w:t>△</w:t>
            </w:r>
            <w:r>
              <w:rPr>
                <w:rFonts w:hint="eastAsia" w:ascii="方正小标宋简体" w:hAnsi="方正小标宋简体" w:eastAsia="方正小标宋简体" w:cs="方正小标宋简体"/>
                <w:kern w:val="2"/>
                <w:sz w:val="30"/>
                <w:szCs w:val="30"/>
                <w:lang w:val="en-US" w:eastAsia="zh-CN" w:bidi="ar-SA"/>
              </w:rPr>
              <w:t>安徽开放大学教学检查组到我院进行秋季教学检查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360" w:lineRule="exact"/>
              <w:ind w:left="300" w:right="0" w:hanging="300" w:hangingChars="100"/>
              <w:jc w:val="left"/>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2021年淮南市“百姓学习之星”“终身学习品牌项目”评审会在我院召开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jc w:val="both"/>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继续教育学院开展2021年秋季新生入学教育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继续教育学院举行“课程思政活动月” 启动大会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小标宋简体" w:hAnsi="方正小标宋简体" w:eastAsia="方正小标宋简体" w:cs="方正小标宋简体"/>
                <w:sz w:val="30"/>
                <w:szCs w:val="30"/>
                <w:lang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我院与淮南市蓝天救援队合作开展急救培训活动</w:t>
            </w:r>
          </w:p>
        </w:tc>
      </w:tr>
    </w:tbl>
    <w:p>
      <w:pPr>
        <w:jc w:val="center"/>
        <w:rPr>
          <w:rFonts w:ascii="方正小标宋简体" w:hAnsi="方正小标宋简体" w:eastAsia="方正小标宋简体" w:cs="方正小标宋简体"/>
          <w:b/>
          <w:bCs/>
          <w:sz w:val="32"/>
          <w:szCs w:val="32"/>
        </w:rPr>
      </w:pPr>
    </w:p>
    <w:p>
      <w:pPr>
        <w:jc w:val="both"/>
        <w:rPr>
          <w:rFonts w:ascii="方正小标宋简体" w:hAnsi="方正小标宋简体" w:eastAsia="方正小标宋简体" w:cs="方正小标宋简体"/>
          <w:b/>
          <w:bCs/>
          <w:sz w:val="32"/>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textAlignment w:val="auto"/>
        <w:rPr>
          <w:rFonts w:hint="eastAsia" w:ascii="仿宋" w:hAnsi="仿宋" w:eastAsia="仿宋" w:cs="仿宋"/>
          <w:kern w:val="2"/>
          <w:sz w:val="30"/>
          <w:szCs w:val="30"/>
          <w:lang w:val="en-US" w:eastAsia="zh-CN" w:bidi="ar-SA"/>
        </w:rPr>
      </w:pPr>
      <w:bookmarkStart w:id="0" w:name="_GoBack"/>
      <w:r>
        <w:rPr>
          <w:rFonts w:hint="eastAsia" w:ascii="方正小标宋简体" w:hAnsi="方正小标宋简体" w:eastAsia="方正小标宋简体" w:cs="方正小标宋简体"/>
          <w:b/>
          <w:bCs/>
          <w:kern w:val="2"/>
          <w:sz w:val="32"/>
          <w:szCs w:val="32"/>
          <w:lang w:val="en-US" w:eastAsia="zh-CN" w:bidi="ar-SA"/>
        </w:rPr>
        <w:t>我院举行淮南老年开放大学2021年秋季开学典礼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10月12日上午，淮南老年开放大学2021年秋季开学典礼在继续教育学院一楼报告厅举行。校长李辉、副校长罗鸿出席开学典礼。继续教育学院领导班子成员、全体工作人员、老年开放大学教师代表、学员代表参加了开学典礼。典礼由继续教育学院支部书记李明主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开学典礼在庄严的国歌声中拉开序幕。学员代表许文荣进行了热情洋溢的发言，她感谢学校为老年朋友提供了一个老有所学的场所；教师代表陈其祥老师代表教师，表达了对老年教育的热爱和对接下来开设课程的一些设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罗鸿在致辞中表示，淮南老年开放大学是我校加强老同志思想建设、满足老同志精神文化生活需求的重要载体，是党和政府联系老同志、凝聚老同志的重要桥梁，也是党在思想文化领域中的一个重要阵地。加强老年教育工作，是对老同志政治上尊重、思想上关心、生活上照顾的具体体现，是丰富老同志精神文化生活，共享改革发展成果的需要，是巩固老同志思想文化阵地和加强党的建设的需要，是构建终身教育体系和建设学习型社会的需要。下一步，学校将充分发挥老年开放大学的阵地作用，以“学、乐、为、教”为原则，提高老年人的素质，展示老年人的精神风貌，为推动学习型社会的形成，作出新的贡献。（通讯员：张忻）</w:t>
      </w:r>
    </w:p>
    <w:p>
      <w:pPr>
        <w:spacing w:line="240" w:lineRule="auto"/>
        <w:ind w:left="0" w:leftChars="0" w:firstLine="0" w:firstLineChars="0"/>
        <w:jc w:val="left"/>
        <w:rPr>
          <w:rFonts w:hint="eastAsia" w:ascii="楷体" w:hAnsi="楷体" w:eastAsia="楷体" w:cs="楷体"/>
          <w:sz w:val="30"/>
          <w:szCs w:val="30"/>
          <w:lang w:val="en-US" w:eastAsia="zh-CN"/>
        </w:rPr>
      </w:pPr>
      <w:r>
        <w:drawing>
          <wp:inline distT="0" distB="0" distL="114300" distR="114300">
            <wp:extent cx="2494915" cy="1619885"/>
            <wp:effectExtent l="0" t="0" r="635"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2494915" cy="1619885"/>
                    </a:xfrm>
                    <a:prstGeom prst="rect">
                      <a:avLst/>
                    </a:prstGeom>
                    <a:noFill/>
                    <a:ln>
                      <a:noFill/>
                    </a:ln>
                  </pic:spPr>
                </pic:pic>
              </a:graphicData>
            </a:graphic>
          </wp:inline>
        </w:drawing>
      </w:r>
      <w:r>
        <w:drawing>
          <wp:inline distT="0" distB="0" distL="114300" distR="114300">
            <wp:extent cx="2675890" cy="1619885"/>
            <wp:effectExtent l="0" t="0" r="10160"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2675890" cy="1619885"/>
                    </a:xfrm>
                    <a:prstGeom prst="rect">
                      <a:avLst/>
                    </a:prstGeom>
                    <a:noFill/>
                    <a:ln>
                      <a:noFill/>
                    </a:ln>
                  </pic:spPr>
                </pic:pic>
              </a:graphicData>
            </a:graphic>
          </wp:inline>
        </w:drawing>
      </w:r>
    </w:p>
    <w:p>
      <w:pPr>
        <w:spacing w:line="240" w:lineRule="auto"/>
        <w:ind w:left="0" w:leftChars="0" w:firstLine="0" w:firstLineChars="0"/>
        <w:jc w:val="center"/>
        <w:rPr>
          <w:rFonts w:hint="eastAsia" w:ascii="楷体" w:hAnsi="楷体" w:eastAsia="楷体" w:cs="楷体"/>
          <w:sz w:val="30"/>
          <w:szCs w:val="30"/>
          <w:lang w:val="en-US" w:eastAsia="zh-CN"/>
        </w:rPr>
      </w:pPr>
    </w:p>
    <w:p>
      <w:pPr>
        <w:spacing w:line="240" w:lineRule="auto"/>
        <w:ind w:left="0" w:leftChars="0" w:firstLine="0" w:firstLineChars="0"/>
        <w:jc w:val="center"/>
        <w:rPr>
          <w:rFonts w:hint="eastAsia" w:ascii="楷体" w:hAnsi="楷体" w:eastAsia="楷体" w:cs="楷体"/>
          <w:sz w:val="30"/>
          <w:szCs w:val="30"/>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安徽开放大学副校长诸咸斌一行来我校调研“远教杯”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乒乓球比赛筹备事宜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10月12日上午，安徽开放大学副校长诸咸斌一行来我校调研全省电大系统“远教杯”乒乓球比赛筹备事宜，校长李辉、副校长罗鸿热情接待了诸校长一行。党政办公室、后勤保障处、公共教育学院和继续教育学院等负责人陪同接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会上，李辉对诸校长一行的到来表示热烈欢迎，介绍了学校的基本情况，他表示，承办全省电大系统第七届“远教杯”乒乓球比赛，是学校与全省电大系统其他兄弟分校加强交流、相互学习,增进友谊的重要渠道，是增强教职工身体素质、丰富业余文化生活的重要手段，学校将全力以赴承办好本次大赛，严格按照组委会的要求做好各项准备工作，确保大赛顺利举行。诸校长介绍了全省电大“远教杯”乒乓球比赛的基本情况和筹备赛项的基本要求。双方相关职能部门就比赛筹备事宜进行了沟通和对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default" w:ascii="仿宋" w:hAnsi="仿宋" w:eastAsia="仿宋" w:cs="仿宋"/>
          <w:b/>
          <w:bCs/>
          <w:kern w:val="2"/>
          <w:sz w:val="30"/>
          <w:szCs w:val="30"/>
          <w:lang w:val="en-US" w:eastAsia="zh-CN" w:bidi="ar-SA"/>
        </w:rPr>
      </w:pPr>
      <w:r>
        <w:rPr>
          <w:rFonts w:hint="eastAsia" w:ascii="仿宋" w:hAnsi="仿宋" w:eastAsia="仿宋" w:cs="仿宋"/>
          <w:kern w:val="2"/>
          <w:sz w:val="30"/>
          <w:szCs w:val="30"/>
          <w:lang w:val="en-US" w:eastAsia="zh-CN" w:bidi="ar-SA"/>
        </w:rPr>
        <w:t>诸校长一行还实地考察了学校的运动球馆和运动员住宿的酒店。</w:t>
      </w:r>
      <w:r>
        <w:rPr>
          <w:rFonts w:hint="eastAsia" w:ascii="仿宋" w:hAnsi="仿宋" w:eastAsia="仿宋" w:cs="仿宋"/>
          <w:sz w:val="30"/>
          <w:szCs w:val="30"/>
        </w:rPr>
        <w:t>（</w:t>
      </w:r>
      <w:r>
        <w:rPr>
          <w:rFonts w:hint="eastAsia" w:ascii="楷体" w:hAnsi="楷体" w:eastAsia="楷体" w:cs="楷体"/>
          <w:sz w:val="30"/>
          <w:szCs w:val="30"/>
        </w:rPr>
        <w:t>通讯员：</w:t>
      </w:r>
      <w:r>
        <w:rPr>
          <w:rFonts w:hint="eastAsia" w:ascii="楷体" w:hAnsi="楷体" w:eastAsia="楷体" w:cs="楷体"/>
          <w:sz w:val="30"/>
          <w:szCs w:val="30"/>
          <w:lang w:val="en-US" w:eastAsia="zh-CN"/>
        </w:rPr>
        <w:t>刘运华</w:t>
      </w:r>
      <w:r>
        <w:rPr>
          <w:rFonts w:hint="eastAsia" w:ascii="仿宋" w:hAnsi="仿宋" w:eastAsia="仿宋" w:cs="仿宋"/>
          <w:sz w:val="30"/>
          <w:szCs w:val="30"/>
          <w:lang w:val="en-US" w:eastAsia="zh-CN"/>
        </w:rPr>
        <w:t>）</w:t>
      </w:r>
    </w:p>
    <w:p>
      <w:pPr>
        <w:spacing w:line="240" w:lineRule="auto"/>
        <w:jc w:val="left"/>
        <w:rPr>
          <w:rFonts w:hint="default" w:ascii="楷体" w:hAnsi="楷体" w:eastAsia="楷体" w:cs="楷体"/>
          <w:sz w:val="30"/>
          <w:szCs w:val="30"/>
          <w:lang w:val="en-US" w:eastAsia="zh-CN"/>
        </w:rPr>
      </w:pPr>
      <w:r>
        <w:drawing>
          <wp:inline distT="0" distB="0" distL="114300" distR="114300">
            <wp:extent cx="2594610" cy="1619885"/>
            <wp:effectExtent l="0" t="0" r="15240"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2594610" cy="1619885"/>
                    </a:xfrm>
                    <a:prstGeom prst="rect">
                      <a:avLst/>
                    </a:prstGeom>
                    <a:noFill/>
                    <a:ln>
                      <a:noFill/>
                    </a:ln>
                  </pic:spPr>
                </pic:pic>
              </a:graphicData>
            </a:graphic>
          </wp:inline>
        </w:drawing>
      </w:r>
      <w:r>
        <w:drawing>
          <wp:inline distT="0" distB="0" distL="114300" distR="114300">
            <wp:extent cx="2622550" cy="1619885"/>
            <wp:effectExtent l="0" t="0" r="6350"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2622550" cy="1619885"/>
                    </a:xfrm>
                    <a:prstGeom prst="rect">
                      <a:avLst/>
                    </a:prstGeom>
                    <a:noFill/>
                    <a:ln>
                      <a:noFill/>
                    </a:ln>
                  </pic:spPr>
                </pic:pic>
              </a:graphicData>
            </a:graphic>
          </wp:inline>
        </w:drawing>
      </w:r>
    </w:p>
    <w:p>
      <w:pPr>
        <w:spacing w:line="240" w:lineRule="auto"/>
        <w:jc w:val="left"/>
      </w:pPr>
      <w:r>
        <w:drawing>
          <wp:inline distT="0" distB="0" distL="114300" distR="114300">
            <wp:extent cx="2597150" cy="1619885"/>
            <wp:effectExtent l="0" t="0" r="12700" b="184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2597150" cy="1619885"/>
                    </a:xfrm>
                    <a:prstGeom prst="rect">
                      <a:avLst/>
                    </a:prstGeom>
                    <a:noFill/>
                    <a:ln>
                      <a:noFill/>
                    </a:ln>
                  </pic:spPr>
                </pic:pic>
              </a:graphicData>
            </a:graphic>
          </wp:inline>
        </w:drawing>
      </w:r>
      <w:r>
        <w:drawing>
          <wp:inline distT="0" distB="0" distL="114300" distR="114300">
            <wp:extent cx="2638425" cy="1619885"/>
            <wp:effectExtent l="0" t="0" r="952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2638425" cy="1619885"/>
                    </a:xfrm>
                    <a:prstGeom prst="rect">
                      <a:avLst/>
                    </a:prstGeom>
                    <a:noFill/>
                    <a:ln>
                      <a:noFill/>
                    </a:ln>
                  </pic:spPr>
                </pic:pic>
              </a:graphicData>
            </a:graphic>
          </wp:inline>
        </w:drawing>
      </w:r>
    </w:p>
    <w:p>
      <w:pPr>
        <w:spacing w:line="240" w:lineRule="auto"/>
        <w:jc w:val="both"/>
        <w:rPr>
          <w:rFonts w:hint="eastAsia"/>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安徽开放大学教学检查组到我院进行秋季教学检查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10月12日下午，安徽开放大学副校长诸咸斌一行4人到我院进行2021年秋季教学检查。学院负责同志陪同检查。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检查组听取了学院负责同志的自查汇报，查看了招生、教学、考务等过程材料，对我院的招生、教学等工作给予了充分的肯定，认为我院招生工作有成效、系统建设有创新，教学管理有落实，同时，对在教学档案的整理与归档、校内外实践基地建设等方面存在的不足提出意见和建议。</w:t>
      </w:r>
    </w:p>
    <w:bookmarkEnd w:id="0"/>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仿宋"/>
          <w:sz w:val="30"/>
          <w:szCs w:val="30"/>
        </w:rPr>
      </w:pPr>
      <w:r>
        <w:rPr>
          <w:rFonts w:hint="eastAsia" w:ascii="仿宋" w:hAnsi="仿宋" w:eastAsia="仿宋" w:cs="仿宋"/>
          <w:kern w:val="2"/>
          <w:sz w:val="30"/>
          <w:szCs w:val="30"/>
          <w:lang w:val="en-US" w:eastAsia="zh-CN" w:bidi="ar-SA"/>
        </w:rPr>
        <w:t>教学检查组还对凤台电大工作站和毛集电大工作站进行了实地检查。</w:t>
      </w:r>
      <w:r>
        <w:rPr>
          <w:rFonts w:hint="eastAsia" w:ascii="楷体" w:hAnsi="楷体" w:eastAsia="楷体" w:cs="仿宋"/>
          <w:sz w:val="30"/>
          <w:szCs w:val="30"/>
        </w:rPr>
        <w:t>（通讯员：</w:t>
      </w:r>
      <w:r>
        <w:rPr>
          <w:rFonts w:hint="eastAsia" w:ascii="楷体" w:hAnsi="楷体" w:eastAsia="楷体" w:cs="仿宋"/>
          <w:sz w:val="30"/>
          <w:szCs w:val="30"/>
          <w:lang w:val="en-US" w:eastAsia="zh-CN"/>
        </w:rPr>
        <w:t>尹建设</w:t>
      </w:r>
      <w:r>
        <w:rPr>
          <w:rFonts w:hint="eastAsia" w:ascii="楷体" w:hAnsi="楷体" w:eastAsia="楷体" w:cs="仿宋"/>
          <w:sz w:val="30"/>
          <w:szCs w:val="30"/>
        </w:rPr>
        <w:t>）</w:t>
      </w:r>
    </w:p>
    <w:p>
      <w:pPr>
        <w:pStyle w:val="6"/>
        <w:keepNext w:val="0"/>
        <w:keepLines w:val="0"/>
        <w:widowControl/>
        <w:suppressLineNumbers w:val="0"/>
        <w:spacing w:before="0" w:beforeAutospacing="0" w:after="0" w:afterAutospacing="0"/>
        <w:ind w:left="0" w:leftChars="0" w:right="360" w:firstLine="0" w:firstLineChars="0"/>
        <w:jc w:val="center"/>
        <w:rPr>
          <w:rFonts w:hint="default" w:eastAsiaTheme="minorEastAsia"/>
          <w:lang w:val="en-US" w:eastAsia="zh-CN"/>
        </w:rPr>
      </w:pPr>
      <w:r>
        <w:drawing>
          <wp:inline distT="0" distB="0" distL="114300" distR="114300">
            <wp:extent cx="2421255" cy="1800225"/>
            <wp:effectExtent l="0" t="0" r="17145"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242125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pPr>
      <w:r>
        <w:rPr>
          <w:rFonts w:hint="eastAsia" w:ascii="楷体" w:hAnsi="楷体" w:eastAsia="楷体" w:cs="仿宋"/>
          <w:sz w:val="30"/>
          <w:szCs w:val="30"/>
          <w:lang w:val="en-US" w:eastAsia="zh-CN"/>
        </w:rPr>
        <w:t xml:space="preserve"> </w:t>
      </w:r>
      <w:r>
        <w:drawing>
          <wp:inline distT="0" distB="0" distL="114300" distR="114300">
            <wp:extent cx="2390140" cy="1619885"/>
            <wp:effectExtent l="0" t="0" r="10160" b="184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2390140" cy="1619885"/>
                    </a:xfrm>
                    <a:prstGeom prst="rect">
                      <a:avLst/>
                    </a:prstGeom>
                    <a:noFill/>
                    <a:ln>
                      <a:noFill/>
                    </a:ln>
                  </pic:spPr>
                </pic:pic>
              </a:graphicData>
            </a:graphic>
          </wp:inline>
        </w:drawing>
      </w:r>
      <w:r>
        <w:drawing>
          <wp:inline distT="0" distB="0" distL="114300" distR="114300">
            <wp:extent cx="2338705" cy="1619885"/>
            <wp:effectExtent l="0" t="0" r="4445" b="184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a:stretch>
                      <a:fillRect/>
                    </a:stretch>
                  </pic:blipFill>
                  <pic:spPr>
                    <a:xfrm>
                      <a:off x="0" y="0"/>
                      <a:ext cx="2338705" cy="161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2021年淮南市“百姓学习之星”“终身学习品牌项目”评审会在我院召开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10月14日上午，2021年淮南市“百姓学习之星”“终身学习品牌项目”评审会在继续教育学院报告厅进行，淮南市教育体育局、田家庵区教育体育局、淮南联合大学相关同志参评。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根据淮南市教育体育局《关于开展 2021年全市“百姓学习之星”“终身学习品牌项目”征集工作的通知》要求，本次征集活动由淮南市终身教育促进委员会办公室承办，淮南联合大学继续教育学院具体负责。各县区、高职院校精心组织、广泛宣传，认真挖掘全民终身学习的典型人物励志故事、各类学习型组织创建、优质资源开发共享等方面的典型人物、优秀工作案例和发展成果，在单位或社区形成了较高的影响力和感召力，有效提升我市群众广泛参与读书学习、积极参与继续教育的终身学习理念，在服务经济转型升级、工业现代化、巩固拓展脱贫攻坚成果同乡村振兴相衔接，加快建设学习型社会进程中起到示范引领作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楷体" w:hAnsi="楷体" w:eastAsia="楷体" w:cs="仿宋"/>
          <w:sz w:val="30"/>
          <w:szCs w:val="30"/>
        </w:rPr>
      </w:pPr>
      <w:r>
        <w:rPr>
          <w:rFonts w:hint="eastAsia" w:ascii="楷体" w:hAnsi="楷体" w:eastAsia="楷体" w:cs="仿宋"/>
          <w:sz w:val="30"/>
          <w:szCs w:val="30"/>
        </w:rPr>
        <w:t>（通讯员：</w:t>
      </w:r>
      <w:r>
        <w:rPr>
          <w:rFonts w:hint="eastAsia" w:ascii="楷体" w:hAnsi="楷体" w:eastAsia="楷体" w:cs="仿宋"/>
          <w:sz w:val="30"/>
          <w:szCs w:val="30"/>
          <w:lang w:val="en-US" w:eastAsia="zh-CN"/>
        </w:rPr>
        <w:t>张忻</w:t>
      </w:r>
      <w:r>
        <w:rPr>
          <w:rFonts w:hint="eastAsia" w:ascii="楷体" w:hAnsi="楷体" w:eastAsia="楷体" w:cs="仿宋"/>
          <w:sz w:val="30"/>
          <w:szCs w:val="30"/>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jc w:val="both"/>
        <w:textAlignment w:val="auto"/>
        <w:rPr>
          <w:rFonts w:hint="default" w:ascii="楷体" w:hAnsi="楷体" w:eastAsia="楷体" w:cs="仿宋"/>
          <w:sz w:val="30"/>
          <w:szCs w:val="30"/>
          <w:lang w:val="en-US" w:eastAsia="zh-CN"/>
        </w:rPr>
      </w:pPr>
      <w:r>
        <w:drawing>
          <wp:inline distT="0" distB="0" distL="114300" distR="114300">
            <wp:extent cx="2359025" cy="1619885"/>
            <wp:effectExtent l="0" t="0" r="3175" b="184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a:stretch>
                      <a:fillRect/>
                    </a:stretch>
                  </pic:blipFill>
                  <pic:spPr>
                    <a:xfrm>
                      <a:off x="0" y="0"/>
                      <a:ext cx="2359025" cy="1619885"/>
                    </a:xfrm>
                    <a:prstGeom prst="rect">
                      <a:avLst/>
                    </a:prstGeom>
                    <a:noFill/>
                    <a:ln>
                      <a:noFill/>
                    </a:ln>
                  </pic:spPr>
                </pic:pic>
              </a:graphicData>
            </a:graphic>
          </wp:inline>
        </w:drawing>
      </w:r>
      <w:r>
        <w:drawing>
          <wp:inline distT="0" distB="0" distL="114300" distR="114300">
            <wp:extent cx="2550160" cy="1619885"/>
            <wp:effectExtent l="0" t="0" r="2540" b="1841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2550160" cy="1619885"/>
                    </a:xfrm>
                    <a:prstGeom prst="rect">
                      <a:avLst/>
                    </a:prstGeom>
                    <a:noFill/>
                    <a:ln>
                      <a:noFill/>
                    </a:ln>
                  </pic:spPr>
                </pic:pic>
              </a:graphicData>
            </a:graphic>
          </wp:inline>
        </w:drawing>
      </w:r>
    </w:p>
    <w:p>
      <w:pPr>
        <w:jc w:val="left"/>
        <w:rPr>
          <w:rFonts w:hint="eastAsia" w:ascii="楷体" w:hAnsi="楷体" w:eastAsia="楷体" w:cs="仿宋"/>
          <w:sz w:val="30"/>
          <w:szCs w:val="30"/>
          <w:lang w:val="en-US" w:eastAsia="zh-CN"/>
        </w:rPr>
      </w:pPr>
      <w:r>
        <w:rPr>
          <w:rFonts w:hint="eastAsia" w:ascii="楷体" w:hAnsi="楷体" w:eastAsia="楷体" w:cs="仿宋"/>
          <w:sz w:val="30"/>
          <w:szCs w:val="30"/>
          <w:lang w:val="en-US" w:eastAsia="zh-CN"/>
        </w:rPr>
        <w:t xml:space="preserve">    </w:t>
      </w:r>
    </w:p>
    <w:p>
      <w:pPr>
        <w:jc w:val="center"/>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继续教育学院开展2021年秋季新生入学教育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为帮助2021级开放教育新生尽快了解国家开放大学、适应开放教育，顺利的完成课程学习。近日，继续教育学院组织开展了2021年开放育秋季入学教育工作。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了解国开，从了解国开文化入手。学院精心制作了国开文化墙，并拍摄了国家开放大学校徽、校训、校歌的宣传课程，通过现场讲解和远程直播的方式，向全体新生宣讲国开文化，提升了学员的校园归宿感和荣誉感，增强了学员的校园凝聚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仿宋"/>
          <w:sz w:val="30"/>
          <w:szCs w:val="30"/>
        </w:rPr>
      </w:pPr>
      <w:r>
        <w:rPr>
          <w:rFonts w:hint="eastAsia" w:ascii="仿宋" w:hAnsi="仿宋" w:eastAsia="仿宋" w:cs="仿宋"/>
          <w:kern w:val="2"/>
          <w:sz w:val="30"/>
          <w:szCs w:val="30"/>
          <w:lang w:val="en-US" w:eastAsia="zh-CN" w:bidi="ar-SA"/>
        </w:rPr>
        <w:t>了解国开，从了解国开的学习考核形式入手。学院安排教学科、教务科、专业责任教师及辅导员从不同的角度对学员进行了宣讲。全面细致介绍了学员进校后的课表查看、平台使用、考核方式以及课程报考、学籍异动、毕业审核、学位申请、奖学金评审等相关内容。帮助学员了解学校的管理要求并树立正确的学习观。</w:t>
      </w:r>
      <w:r>
        <w:rPr>
          <w:rFonts w:hint="eastAsia" w:ascii="楷体" w:hAnsi="楷体" w:eastAsia="楷体" w:cs="仿宋"/>
          <w:kern w:val="0"/>
          <w:sz w:val="30"/>
          <w:szCs w:val="30"/>
          <w:lang w:val="en-US" w:eastAsia="zh-CN" w:bidi="ar-SA"/>
        </w:rPr>
        <w:t>（通讯员：钱进）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pPr>
      <w:r>
        <w:drawing>
          <wp:inline distT="0" distB="0" distL="114300" distR="114300">
            <wp:extent cx="2407920" cy="1619885"/>
            <wp:effectExtent l="0" t="0" r="11430" b="1841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2407920" cy="1619885"/>
                    </a:xfrm>
                    <a:prstGeom prst="rect">
                      <a:avLst/>
                    </a:prstGeom>
                    <a:noFill/>
                    <a:ln>
                      <a:noFill/>
                    </a:ln>
                  </pic:spPr>
                </pic:pic>
              </a:graphicData>
            </a:graphic>
          </wp:inline>
        </w:drawing>
      </w:r>
      <w:r>
        <w:drawing>
          <wp:inline distT="0" distB="0" distL="114300" distR="114300">
            <wp:extent cx="2597150" cy="1619885"/>
            <wp:effectExtent l="0" t="0" r="12700" b="1841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8"/>
                    <a:stretch>
                      <a:fillRect/>
                    </a:stretch>
                  </pic:blipFill>
                  <pic:spPr>
                    <a:xfrm>
                      <a:off x="0" y="0"/>
                      <a:ext cx="2597150" cy="161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继续教育学院举行“课程思政活动月” 启动大会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为深入贯彻落实习近平总书记在全国教育大会和在全国高校思想政治工作会议上的重要讲话精神，推动全面落实立德树人根本任务，充分发挥教师队伍“主力军”、课程建设“主战场”、课堂教学“主渠道、主阵地”的作用,挖掘梳理开放教育课程的思政元素，充分发挥每门课程的育人功能，构建全员、全程、全方位的育人大格局。10月22日上午9时，我院在一楼报告厅举行“课程思政活动月”启动大会。党委委员、副校长罗鸿出席会议，学院领导班子、各工作站分管教学负责人、马克思主义学院教学秘书及部分授课教师代表和开放教育全体辅导员参加了会议，会议由继续教育学院党支部书记李明主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会上，继续教育学院院长尹建设宣读了《淮南广播电视大学关于开展“课程思政活动月”活动的通知》；继续教育学院李炎老师结合自身的教学实践，分享了课程思政教学的经验和体会；马克思主义学院教学秘书王建庭老师围绕着“立德树人、润物无声”深入剖析了课程思政建设工作；凤台电大工作站副校长王立华针对县级教学单位如何开展课程思政活动做了发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jc w:val="center"/>
        <w:textAlignment w:val="auto"/>
      </w:pPr>
      <w:r>
        <w:drawing>
          <wp:inline distT="0" distB="0" distL="114300" distR="114300">
            <wp:extent cx="2880360" cy="1706245"/>
            <wp:effectExtent l="0" t="0" r="15240" b="825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9"/>
                    <a:stretch>
                      <a:fillRect/>
                    </a:stretch>
                  </pic:blipFill>
                  <pic:spPr>
                    <a:xfrm>
                      <a:off x="0" y="0"/>
                      <a:ext cx="2880360" cy="1706245"/>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罗鸿做总结讲话并宣布“课程思政活动月”正式启动。他要求，一要正确理解课程思政。每门课程都有育人功能、承担育人任务，要把立德树人根本任务贯彻到每门课程之中；二要认真落实课程思政。要加强教师理想信念教育，全体教师要坚持做到：政治要强、情怀要深、思维要新、视野要广、自律要严、人格要正。要充分挖掘专业课的思政元素，在专业课程的教学和实践中将知识、技能传授同理想信念教育有机结合起来。三要全面推进课程思政。要聚焦四个着力点，一是要着力转变教学理念；二是要着力提升教学能力；三是要着力更新教学内容；四是要着力改进教学方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jc w:val="center"/>
        <w:textAlignment w:val="auto"/>
        <w:rPr>
          <w:rFonts w:hint="eastAsia" w:ascii="仿宋" w:hAnsi="仿宋" w:eastAsia="仿宋" w:cs="仿宋"/>
          <w:kern w:val="2"/>
          <w:sz w:val="30"/>
          <w:szCs w:val="30"/>
          <w:lang w:val="en-US" w:eastAsia="zh-CN" w:bidi="ar-SA"/>
        </w:rPr>
      </w:pPr>
      <w:r>
        <w:drawing>
          <wp:inline distT="0" distB="0" distL="114300" distR="114300">
            <wp:extent cx="2885440" cy="1705610"/>
            <wp:effectExtent l="0" t="0" r="10160" b="889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0"/>
                    <a:stretch>
                      <a:fillRect/>
                    </a:stretch>
                  </pic:blipFill>
                  <pic:spPr>
                    <a:xfrm>
                      <a:off x="0" y="0"/>
                      <a:ext cx="2885440" cy="1705610"/>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420"/>
        <w:textAlignment w:val="auto"/>
        <w:rPr>
          <w:rFonts w:hint="eastAsia" w:ascii="楷体" w:hAnsi="楷体" w:eastAsia="楷体" w:cs="仿宋"/>
          <w:kern w:val="0"/>
          <w:sz w:val="30"/>
          <w:szCs w:val="30"/>
          <w:lang w:val="en-US" w:eastAsia="zh-CN" w:bidi="ar-SA"/>
        </w:rPr>
      </w:pPr>
      <w:r>
        <w:rPr>
          <w:rFonts w:hint="eastAsia" w:ascii="仿宋" w:hAnsi="仿宋" w:eastAsia="仿宋" w:cs="仿宋"/>
          <w:kern w:val="2"/>
          <w:sz w:val="30"/>
          <w:szCs w:val="30"/>
          <w:lang w:val="en-US" w:eastAsia="zh-CN" w:bidi="ar-SA"/>
        </w:rPr>
        <w:t>启动大会之后，全体人员在会议室开展了 “课程思政”大讨论活动，充分交流了“课程思政”建设的思考，同时，对开放教育课程思政教学活动的实施提出了意见和建议。</w:t>
      </w:r>
      <w:r>
        <w:rPr>
          <w:rFonts w:hint="eastAsia" w:ascii="楷体" w:hAnsi="楷体" w:eastAsia="楷体" w:cs="仿宋"/>
          <w:kern w:val="0"/>
          <w:sz w:val="30"/>
          <w:szCs w:val="30"/>
          <w:lang w:val="en-US" w:eastAsia="zh-CN" w:bidi="ar-SA"/>
        </w:rPr>
        <w:t>（通讯员：钱进）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720" w:lineRule="auto"/>
        <w:ind w:left="0" w:right="0" w:firstLine="420"/>
        <w:textAlignment w:val="auto"/>
        <w:rPr>
          <w:rFonts w:hint="eastAsia" w:ascii="楷体" w:hAnsi="楷体" w:eastAsia="楷体" w:cs="仿宋"/>
          <w:kern w:val="0"/>
          <w:sz w:val="30"/>
          <w:szCs w:val="30"/>
          <w:lang w:val="en-US" w:eastAsia="zh-CN" w:bidi="ar-SA"/>
        </w:rPr>
      </w:pPr>
      <w:r>
        <w:drawing>
          <wp:inline distT="0" distB="0" distL="114300" distR="114300">
            <wp:extent cx="2533015" cy="1619885"/>
            <wp:effectExtent l="0" t="0" r="635" b="1841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1"/>
                    <a:stretch>
                      <a:fillRect/>
                    </a:stretch>
                  </pic:blipFill>
                  <pic:spPr>
                    <a:xfrm>
                      <a:off x="0" y="0"/>
                      <a:ext cx="2533015" cy="1619885"/>
                    </a:xfrm>
                    <a:prstGeom prst="rect">
                      <a:avLst/>
                    </a:prstGeom>
                    <a:noFill/>
                    <a:ln>
                      <a:noFill/>
                    </a:ln>
                  </pic:spPr>
                </pic:pic>
              </a:graphicData>
            </a:graphic>
          </wp:inline>
        </w:drawing>
      </w:r>
      <w:r>
        <w:drawing>
          <wp:inline distT="0" distB="0" distL="114300" distR="114300">
            <wp:extent cx="2385060" cy="1619885"/>
            <wp:effectExtent l="0" t="0" r="15240" b="1841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2"/>
                    <a:stretch>
                      <a:fillRect/>
                    </a:stretch>
                  </pic:blipFill>
                  <pic:spPr>
                    <a:xfrm>
                      <a:off x="0" y="0"/>
                      <a:ext cx="2385060" cy="161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我院与淮南市蓝天救援队合作开展急救培训活动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10月23日，由淮南市蓝天救援队主办，继续教育学院承办的面向蚂蚁力量儿童义工团·淮南站、童心向党志愿者小分队队员，开展了《安全教育-应急自救》培训活动。来自淮南市各区县的小志愿者及家长70多人参加了培训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培训会上，培训教师以生动的语言、真实的案例，围绕突发事件，结合日常生活和工作，分别就如何拨打电话、施救的正确步骤、心肺复苏的科学抢救办法等进行了详尽的讲解和示范。在随后的实际操作中，培训老师利用模拟假人向学生传授和演示心肺复苏术、人工呼吸、海姆立克急救法的急救步骤和操作方法。通过此次培训，让小志愿者们掌握了应急救护理论知识，提高了意外事故和危重病发生时的应急能力。会后，全体参训人员集体合影留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仿宋"/>
          <w:kern w:val="0"/>
          <w:sz w:val="30"/>
          <w:szCs w:val="30"/>
          <w:lang w:val="en-US" w:eastAsia="zh-CN" w:bidi="ar-SA"/>
        </w:rPr>
      </w:pPr>
      <w:r>
        <w:rPr>
          <w:rFonts w:hint="eastAsia" w:ascii="仿宋" w:hAnsi="仿宋" w:eastAsia="仿宋" w:cs="仿宋"/>
          <w:kern w:val="2"/>
          <w:sz w:val="30"/>
          <w:szCs w:val="30"/>
          <w:lang w:val="en-US" w:eastAsia="zh-CN" w:bidi="ar-SA"/>
        </w:rPr>
        <w:t>蓝天救援队是中国民间专业、独立的纯公益紧急救援机构。救援队的任务是协助政府应急体系展开防灾减灾教育培训，参与各种灾害事故救援行动，包括塌方、地震、洪水、泥石流等自然灾害，以及山林火灾、大型意外事故与其他户外安全事故。我院与蓝天救援队加强合作，对发挥双方各自优势，进一步加强服务社会的意识和能力，提升公众的灾害预防意识和自我保护技能，有效减少人民群众生命财产损失有着重要意义。</w:t>
      </w:r>
      <w:r>
        <w:rPr>
          <w:rFonts w:hint="eastAsia" w:ascii="楷体" w:hAnsi="楷体" w:eastAsia="楷体" w:cs="仿宋"/>
          <w:kern w:val="0"/>
          <w:sz w:val="30"/>
          <w:szCs w:val="30"/>
          <w:lang w:val="en-US" w:eastAsia="zh-CN" w:bidi="ar-SA"/>
        </w:rPr>
        <w:t>（通讯员：张忻）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jc w:val="center"/>
        <w:textAlignment w:val="auto"/>
      </w:pPr>
      <w:r>
        <w:drawing>
          <wp:inline distT="0" distB="0" distL="114300" distR="114300">
            <wp:extent cx="2435225" cy="1800225"/>
            <wp:effectExtent l="0" t="0" r="3175" b="952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3"/>
                    <a:stretch>
                      <a:fillRect/>
                    </a:stretch>
                  </pic:blipFill>
                  <pic:spPr>
                    <a:xfrm>
                      <a:off x="0" y="0"/>
                      <a:ext cx="2435225" cy="1800225"/>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jc w:val="both"/>
        <w:textAlignment w:val="auto"/>
        <w:rPr>
          <w:rFonts w:hint="eastAsia"/>
          <w:lang w:val="en-US" w:eastAsia="zh-CN"/>
        </w:rPr>
      </w:pPr>
      <w:r>
        <w:drawing>
          <wp:inline distT="0" distB="0" distL="114300" distR="114300">
            <wp:extent cx="2511425" cy="1619885"/>
            <wp:effectExtent l="0" t="0" r="3175" b="1841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4"/>
                    <a:stretch>
                      <a:fillRect/>
                    </a:stretch>
                  </pic:blipFill>
                  <pic:spPr>
                    <a:xfrm>
                      <a:off x="0" y="0"/>
                      <a:ext cx="2511425" cy="1619885"/>
                    </a:xfrm>
                    <a:prstGeom prst="rect">
                      <a:avLst/>
                    </a:prstGeom>
                    <a:noFill/>
                    <a:ln>
                      <a:noFill/>
                    </a:ln>
                  </pic:spPr>
                </pic:pic>
              </a:graphicData>
            </a:graphic>
          </wp:inline>
        </w:drawing>
      </w:r>
      <w:r>
        <w:drawing>
          <wp:inline distT="0" distB="0" distL="114300" distR="114300">
            <wp:extent cx="2421255" cy="1619885"/>
            <wp:effectExtent l="0" t="0" r="17145" b="1841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5"/>
                    <a:stretch>
                      <a:fillRect/>
                    </a:stretch>
                  </pic:blipFill>
                  <pic:spPr>
                    <a:xfrm>
                      <a:off x="0" y="0"/>
                      <a:ext cx="2421255" cy="1619885"/>
                    </a:xfrm>
                    <a:prstGeom prst="rect">
                      <a:avLst/>
                    </a:prstGeom>
                    <a:noFill/>
                    <a:ln>
                      <a:noFill/>
                    </a:ln>
                  </pic:spPr>
                </pic:pic>
              </a:graphicData>
            </a:graphic>
          </wp:inline>
        </w:drawing>
      </w:r>
    </w:p>
    <w:p>
      <w:pPr>
        <w:jc w:val="both"/>
        <w:rPr>
          <w:rFonts w:hint="eastAsia" w:ascii="楷体" w:hAnsi="楷体" w:eastAsia="楷体" w:cs="楷体"/>
          <w:b/>
          <w:sz w:val="30"/>
          <w:szCs w:val="30"/>
        </w:rPr>
      </w:pPr>
    </w:p>
    <w:p>
      <w:pPr>
        <w:jc w:val="right"/>
        <w:rPr>
          <w:rFonts w:hint="eastAsia" w:ascii="黑体" w:hAnsi="宋体" w:eastAsia="黑体" w:cs="黑体"/>
          <w:color w:val="000000"/>
          <w:kern w:val="0"/>
          <w:sz w:val="28"/>
          <w:szCs w:val="28"/>
          <w:lang w:val="en-US" w:eastAsia="zh-CN" w:bidi="ar"/>
        </w:rPr>
      </w:pPr>
      <w:r>
        <w:rPr>
          <w:rFonts w:hint="eastAsia" w:ascii="楷体" w:hAnsi="楷体" w:eastAsia="楷体" w:cs="楷体"/>
          <w:b/>
          <w:sz w:val="30"/>
          <w:szCs w:val="30"/>
        </w:rPr>
        <w:t>（编辑：继续教育学院综合科）</w:t>
      </w:r>
    </w:p>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auto"/>
        <w:rPr>
          <w:rFonts w:hint="eastAsia" w:ascii="黑体" w:hAnsi="宋体" w:eastAsia="黑体" w:cs="黑体"/>
          <w:color w:val="000000"/>
          <w:kern w:val="0"/>
          <w:sz w:val="28"/>
          <w:szCs w:val="28"/>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646154"/>
    <w:rsid w:val="00047BEE"/>
    <w:rsid w:val="00272678"/>
    <w:rsid w:val="004C1418"/>
    <w:rsid w:val="006B3534"/>
    <w:rsid w:val="006E60FD"/>
    <w:rsid w:val="00742AAE"/>
    <w:rsid w:val="00865782"/>
    <w:rsid w:val="00A4033E"/>
    <w:rsid w:val="00A53656"/>
    <w:rsid w:val="00E76937"/>
    <w:rsid w:val="0121083D"/>
    <w:rsid w:val="019A30EB"/>
    <w:rsid w:val="021418ED"/>
    <w:rsid w:val="024F333F"/>
    <w:rsid w:val="03E123E6"/>
    <w:rsid w:val="03FA2C69"/>
    <w:rsid w:val="03FF084D"/>
    <w:rsid w:val="05F14759"/>
    <w:rsid w:val="087869BE"/>
    <w:rsid w:val="08DC5A54"/>
    <w:rsid w:val="08EB608F"/>
    <w:rsid w:val="090C30E2"/>
    <w:rsid w:val="09885D61"/>
    <w:rsid w:val="09D51F8D"/>
    <w:rsid w:val="09D8152F"/>
    <w:rsid w:val="0B266EA3"/>
    <w:rsid w:val="0BD670F6"/>
    <w:rsid w:val="0BE03C9C"/>
    <w:rsid w:val="0C2F5690"/>
    <w:rsid w:val="0CC762A2"/>
    <w:rsid w:val="0E481437"/>
    <w:rsid w:val="0EC90688"/>
    <w:rsid w:val="0EE550F7"/>
    <w:rsid w:val="107A52FB"/>
    <w:rsid w:val="10BA10AE"/>
    <w:rsid w:val="115F7B31"/>
    <w:rsid w:val="11C10647"/>
    <w:rsid w:val="11D679F2"/>
    <w:rsid w:val="134B0EEB"/>
    <w:rsid w:val="1374758E"/>
    <w:rsid w:val="138C5271"/>
    <w:rsid w:val="14507E0A"/>
    <w:rsid w:val="15951A0D"/>
    <w:rsid w:val="167D1981"/>
    <w:rsid w:val="168A7FBB"/>
    <w:rsid w:val="17403EA1"/>
    <w:rsid w:val="17E40DAC"/>
    <w:rsid w:val="1AE57BC9"/>
    <w:rsid w:val="1B0D7F6E"/>
    <w:rsid w:val="1B103F52"/>
    <w:rsid w:val="1B202719"/>
    <w:rsid w:val="1B45412C"/>
    <w:rsid w:val="1B755A64"/>
    <w:rsid w:val="1BB62101"/>
    <w:rsid w:val="1C82527A"/>
    <w:rsid w:val="1CD82184"/>
    <w:rsid w:val="1CE36CE8"/>
    <w:rsid w:val="1E1E2289"/>
    <w:rsid w:val="1EF77B17"/>
    <w:rsid w:val="1F6F2580"/>
    <w:rsid w:val="1FAC5215"/>
    <w:rsid w:val="1FDB333A"/>
    <w:rsid w:val="21136EB5"/>
    <w:rsid w:val="216657C6"/>
    <w:rsid w:val="21813F74"/>
    <w:rsid w:val="21EC36CB"/>
    <w:rsid w:val="223412C8"/>
    <w:rsid w:val="22CE16C9"/>
    <w:rsid w:val="24104D97"/>
    <w:rsid w:val="248638B1"/>
    <w:rsid w:val="24DA2ABE"/>
    <w:rsid w:val="25425B6C"/>
    <w:rsid w:val="256D4B5E"/>
    <w:rsid w:val="25E27F34"/>
    <w:rsid w:val="262521AA"/>
    <w:rsid w:val="276F3530"/>
    <w:rsid w:val="27BC6CDA"/>
    <w:rsid w:val="28AC6BBC"/>
    <w:rsid w:val="2948039B"/>
    <w:rsid w:val="2AB44F67"/>
    <w:rsid w:val="2AC47B14"/>
    <w:rsid w:val="2C736545"/>
    <w:rsid w:val="2D0F2376"/>
    <w:rsid w:val="2D7346DA"/>
    <w:rsid w:val="2E8C536C"/>
    <w:rsid w:val="2E9D5DF9"/>
    <w:rsid w:val="2ED167F9"/>
    <w:rsid w:val="2F7603E5"/>
    <w:rsid w:val="2FE9448D"/>
    <w:rsid w:val="2FEC29AC"/>
    <w:rsid w:val="30F34399"/>
    <w:rsid w:val="30F61D26"/>
    <w:rsid w:val="3139706E"/>
    <w:rsid w:val="326F6BC3"/>
    <w:rsid w:val="32D36622"/>
    <w:rsid w:val="32F907FB"/>
    <w:rsid w:val="330D42A8"/>
    <w:rsid w:val="3414792C"/>
    <w:rsid w:val="34795615"/>
    <w:rsid w:val="349F116E"/>
    <w:rsid w:val="35A5328F"/>
    <w:rsid w:val="366033AB"/>
    <w:rsid w:val="379838C5"/>
    <w:rsid w:val="390127B4"/>
    <w:rsid w:val="397240A9"/>
    <w:rsid w:val="3A4915E3"/>
    <w:rsid w:val="3ABF1DB2"/>
    <w:rsid w:val="3BEA5118"/>
    <w:rsid w:val="3C741EC1"/>
    <w:rsid w:val="3C7666CA"/>
    <w:rsid w:val="3CA824E2"/>
    <w:rsid w:val="3CD12D6E"/>
    <w:rsid w:val="3D88663F"/>
    <w:rsid w:val="3DCE5215"/>
    <w:rsid w:val="3EA959DC"/>
    <w:rsid w:val="3EB3132A"/>
    <w:rsid w:val="3FD63D93"/>
    <w:rsid w:val="409B617D"/>
    <w:rsid w:val="40FB655A"/>
    <w:rsid w:val="422673F0"/>
    <w:rsid w:val="429E7CF6"/>
    <w:rsid w:val="43A54FD0"/>
    <w:rsid w:val="43B00D5A"/>
    <w:rsid w:val="44277F25"/>
    <w:rsid w:val="45865E59"/>
    <w:rsid w:val="45D97724"/>
    <w:rsid w:val="466529B8"/>
    <w:rsid w:val="47C92750"/>
    <w:rsid w:val="498A1D99"/>
    <w:rsid w:val="4A5B4EED"/>
    <w:rsid w:val="4B0C34EE"/>
    <w:rsid w:val="4CB14099"/>
    <w:rsid w:val="4D23766D"/>
    <w:rsid w:val="4E1917AF"/>
    <w:rsid w:val="4F3E2A17"/>
    <w:rsid w:val="50595F4D"/>
    <w:rsid w:val="508A658F"/>
    <w:rsid w:val="50D126A3"/>
    <w:rsid w:val="50EA2747"/>
    <w:rsid w:val="51284EC2"/>
    <w:rsid w:val="51E208EA"/>
    <w:rsid w:val="51F407E9"/>
    <w:rsid w:val="524E6BD2"/>
    <w:rsid w:val="530675D8"/>
    <w:rsid w:val="53752F2A"/>
    <w:rsid w:val="537F3EAA"/>
    <w:rsid w:val="546748B1"/>
    <w:rsid w:val="551A57F6"/>
    <w:rsid w:val="55451BAF"/>
    <w:rsid w:val="55787500"/>
    <w:rsid w:val="55907917"/>
    <w:rsid w:val="559C0E0E"/>
    <w:rsid w:val="55CB4F2A"/>
    <w:rsid w:val="56B61C7B"/>
    <w:rsid w:val="584651A9"/>
    <w:rsid w:val="58BB73A0"/>
    <w:rsid w:val="58F32878"/>
    <w:rsid w:val="5ADB4130"/>
    <w:rsid w:val="5BDE6744"/>
    <w:rsid w:val="5BEA77FF"/>
    <w:rsid w:val="5C2D22B2"/>
    <w:rsid w:val="5C9D0896"/>
    <w:rsid w:val="5CA37B56"/>
    <w:rsid w:val="5E636D06"/>
    <w:rsid w:val="5F352E66"/>
    <w:rsid w:val="5FCB54DE"/>
    <w:rsid w:val="5FF348E8"/>
    <w:rsid w:val="60C14B6A"/>
    <w:rsid w:val="613A0346"/>
    <w:rsid w:val="632E6300"/>
    <w:rsid w:val="637B7C6A"/>
    <w:rsid w:val="640E3263"/>
    <w:rsid w:val="643A0FA9"/>
    <w:rsid w:val="64910765"/>
    <w:rsid w:val="64F404D7"/>
    <w:rsid w:val="654F2CEF"/>
    <w:rsid w:val="655F5FE8"/>
    <w:rsid w:val="65C417E3"/>
    <w:rsid w:val="666C4786"/>
    <w:rsid w:val="66C15E36"/>
    <w:rsid w:val="672B767F"/>
    <w:rsid w:val="675A3533"/>
    <w:rsid w:val="67D84E59"/>
    <w:rsid w:val="67F25657"/>
    <w:rsid w:val="69FF4D09"/>
    <w:rsid w:val="6A871D7F"/>
    <w:rsid w:val="6AE445AF"/>
    <w:rsid w:val="6C4E65CA"/>
    <w:rsid w:val="6C627F8A"/>
    <w:rsid w:val="6C646154"/>
    <w:rsid w:val="6D2756B6"/>
    <w:rsid w:val="6D4C11A6"/>
    <w:rsid w:val="6DAB4D1F"/>
    <w:rsid w:val="6E551816"/>
    <w:rsid w:val="6E6A0E17"/>
    <w:rsid w:val="6E701C04"/>
    <w:rsid w:val="6E8279BC"/>
    <w:rsid w:val="6F8440BC"/>
    <w:rsid w:val="6FBB120A"/>
    <w:rsid w:val="705A1E2A"/>
    <w:rsid w:val="705D2FB2"/>
    <w:rsid w:val="70F155D6"/>
    <w:rsid w:val="710C043C"/>
    <w:rsid w:val="71A40F16"/>
    <w:rsid w:val="71B525E3"/>
    <w:rsid w:val="71C53111"/>
    <w:rsid w:val="71E1363D"/>
    <w:rsid w:val="73750786"/>
    <w:rsid w:val="7548532B"/>
    <w:rsid w:val="754E0B4F"/>
    <w:rsid w:val="75E25363"/>
    <w:rsid w:val="7672224A"/>
    <w:rsid w:val="76A7544E"/>
    <w:rsid w:val="76FA7CEB"/>
    <w:rsid w:val="77172467"/>
    <w:rsid w:val="77C33B3E"/>
    <w:rsid w:val="78AC29BF"/>
    <w:rsid w:val="790D04DB"/>
    <w:rsid w:val="79455C18"/>
    <w:rsid w:val="7BBA7605"/>
    <w:rsid w:val="7C0448B6"/>
    <w:rsid w:val="7C3B4D29"/>
    <w:rsid w:val="7CAF39B6"/>
    <w:rsid w:val="7D255398"/>
    <w:rsid w:val="7D4E17FD"/>
    <w:rsid w:val="7E584A10"/>
    <w:rsid w:val="7EA075DA"/>
    <w:rsid w:val="7EB1470A"/>
    <w:rsid w:val="7ED2220A"/>
    <w:rsid w:val="7FD45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批注框文本 字符"/>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2185</Words>
  <Characters>2201</Characters>
  <Lines>19</Lines>
  <Paragraphs>5</Paragraphs>
  <TotalTime>1</TotalTime>
  <ScaleCrop>false</ScaleCrop>
  <LinksUpToDate>false</LinksUpToDate>
  <CharactersWithSpaces>2257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2020-04-30T06:36:00Z</dcterms:created>
  <dc:creator>月半弯</dc:creator>
  <cp:lastModifiedBy>刘运华</cp:lastModifiedBy>
  <cp:lastPrinted>2021-06-01T01:22:00Z</cp:lastPrinted>
  <dcterms:modified xsi:type="dcterms:W3CDTF">2021-11-02T01:53:02Z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1D9FECCD1EE940CD9E27FDCAB7A48D22</vt:lpwstr>
  </property>
</Properties>
</file>